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3BB17" w14:textId="5F292D0B" w:rsidR="00711156" w:rsidRDefault="00103D02" w:rsidP="00711156">
      <w:pPr>
        <w:jc w:val="right"/>
        <w:rPr>
          <w:noProof/>
          <w:snapToGrid w:val="0"/>
          <w:sz w:val="20"/>
          <w:lang w:eastAsia="en-GB"/>
        </w:rPr>
      </w:pPr>
      <w:r>
        <w:rPr>
          <w:b/>
          <w:noProof/>
          <w:sz w:val="28"/>
          <w:szCs w:val="28"/>
        </w:rPr>
        <w:drawing>
          <wp:anchor distT="0" distB="0" distL="114300" distR="114300" simplePos="0" relativeHeight="251658240" behindDoc="0" locked="0" layoutInCell="1" allowOverlap="1" wp14:anchorId="2A5C9B76" wp14:editId="4185DAE5">
            <wp:simplePos x="0" y="0"/>
            <wp:positionH relativeFrom="column">
              <wp:posOffset>2133600</wp:posOffset>
            </wp:positionH>
            <wp:positionV relativeFrom="paragraph">
              <wp:posOffset>-170180</wp:posOffset>
            </wp:positionV>
            <wp:extent cx="2387985" cy="413385"/>
            <wp:effectExtent l="0" t="0" r="0" b="0"/>
            <wp:wrapNone/>
            <wp:docPr id="2" name="Picture 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sign&#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87985" cy="413385"/>
                    </a:xfrm>
                    <a:prstGeom prst="rect">
                      <a:avLst/>
                    </a:prstGeom>
                  </pic:spPr>
                </pic:pic>
              </a:graphicData>
            </a:graphic>
            <wp14:sizeRelH relativeFrom="margin">
              <wp14:pctWidth>0</wp14:pctWidth>
            </wp14:sizeRelH>
            <wp14:sizeRelV relativeFrom="margin">
              <wp14:pctHeight>0</wp14:pctHeight>
            </wp14:sizeRelV>
          </wp:anchor>
        </w:drawing>
      </w:r>
    </w:p>
    <w:p w14:paraId="5632822D" w14:textId="349BFC42" w:rsidR="00103D02" w:rsidRPr="00303AFB" w:rsidRDefault="00103D02" w:rsidP="00711156">
      <w:pPr>
        <w:jc w:val="right"/>
        <w:rPr>
          <w:snapToGrid w:val="0"/>
          <w:sz w:val="20"/>
          <w:lang w:val="en-US"/>
        </w:rPr>
      </w:pPr>
    </w:p>
    <w:p w14:paraId="7383BB18" w14:textId="77777777" w:rsidR="00711156" w:rsidRPr="00303AFB" w:rsidRDefault="00711156" w:rsidP="00711156">
      <w:pPr>
        <w:jc w:val="center"/>
        <w:rPr>
          <w:i/>
          <w:snapToGrid w:val="0"/>
          <w:lang w:val="en-US"/>
        </w:rPr>
      </w:pPr>
      <w:r w:rsidRPr="00303AFB">
        <w:rPr>
          <w:b/>
          <w:snapToGrid w:val="0"/>
          <w:lang w:val="en-US"/>
        </w:rPr>
        <w:t xml:space="preserve">PARTNER INSTITUTION </w:t>
      </w:r>
      <w:r w:rsidRPr="00303AFB">
        <w:rPr>
          <w:i/>
          <w:snapToGrid w:val="0"/>
          <w:lang w:val="en-US"/>
        </w:rPr>
        <w:t>[NAME OF PARTNER INSTITUTION]</w:t>
      </w:r>
    </w:p>
    <w:p w14:paraId="7383BB19" w14:textId="77777777" w:rsidR="00711156" w:rsidRPr="00303AFB" w:rsidRDefault="00711156" w:rsidP="00711156">
      <w:pPr>
        <w:jc w:val="center"/>
        <w:rPr>
          <w:b/>
          <w:snapToGrid w:val="0"/>
          <w:lang w:val="en-US"/>
        </w:rPr>
      </w:pPr>
      <w:r w:rsidRPr="00303AFB">
        <w:rPr>
          <w:b/>
          <w:snapToGrid w:val="0"/>
          <w:lang w:val="en-US"/>
        </w:rPr>
        <w:t>PERIODIC REVIEW OF PROGRAMMES</w:t>
      </w:r>
    </w:p>
    <w:p w14:paraId="7383BB1A" w14:textId="77777777" w:rsidR="00711156" w:rsidRPr="00303AFB" w:rsidRDefault="00711156" w:rsidP="00711156">
      <w:pPr>
        <w:jc w:val="center"/>
        <w:rPr>
          <w:i/>
          <w:snapToGrid w:val="0"/>
          <w:lang w:val="en-US"/>
        </w:rPr>
      </w:pPr>
      <w:r w:rsidRPr="00303AFB">
        <w:rPr>
          <w:i/>
          <w:snapToGrid w:val="0"/>
          <w:lang w:val="en-US"/>
        </w:rPr>
        <w:t>[COVERING THE FIVE-YEAR PERIOD: YEAR-YEAR]</w:t>
      </w:r>
    </w:p>
    <w:p w14:paraId="7383BB1B" w14:textId="77777777" w:rsidR="00711156" w:rsidRPr="00303AFB" w:rsidRDefault="00711156" w:rsidP="00711156">
      <w:pPr>
        <w:jc w:val="center"/>
        <w:rPr>
          <w:i/>
          <w:snapToGrid w:val="0"/>
          <w:lang w:val="en-US"/>
        </w:rPr>
      </w:pPr>
    </w:p>
    <w:p w14:paraId="7383BB1C" w14:textId="77777777" w:rsidR="00711156" w:rsidRPr="003D0D03" w:rsidRDefault="00711156" w:rsidP="00711156">
      <w:pPr>
        <w:pStyle w:val="Heading2"/>
        <w:numPr>
          <w:ilvl w:val="0"/>
          <w:numId w:val="0"/>
        </w:numPr>
        <w:ind w:left="576" w:hanging="576"/>
        <w:rPr>
          <w:rFonts w:ascii="Arial" w:hAnsi="Arial" w:cs="Arial"/>
          <w:color w:val="auto"/>
          <w:sz w:val="22"/>
          <w:szCs w:val="22"/>
        </w:rPr>
      </w:pPr>
      <w:r w:rsidRPr="003D0D03">
        <w:rPr>
          <w:rFonts w:ascii="Arial" w:hAnsi="Arial" w:cs="Arial"/>
          <w:color w:val="auto"/>
          <w:sz w:val="22"/>
          <w:szCs w:val="22"/>
        </w:rPr>
        <w:t xml:space="preserve">Departments whose programmes are included in the </w:t>
      </w:r>
      <w:proofErr w:type="gramStart"/>
      <w:r w:rsidRPr="003D0D03">
        <w:rPr>
          <w:rFonts w:ascii="Arial" w:hAnsi="Arial" w:cs="Arial"/>
          <w:color w:val="auto"/>
          <w:sz w:val="22"/>
          <w:szCs w:val="22"/>
        </w:rPr>
        <w:t>Review</w:t>
      </w:r>
      <w:proofErr w:type="gramEnd"/>
    </w:p>
    <w:p w14:paraId="7383BB1D" w14:textId="77777777" w:rsidR="00711156" w:rsidRPr="003D0D03" w:rsidRDefault="00711156" w:rsidP="00711156">
      <w:pPr>
        <w:pStyle w:val="Heading2"/>
        <w:numPr>
          <w:ilvl w:val="0"/>
          <w:numId w:val="0"/>
        </w:numPr>
        <w:ind w:left="576" w:hanging="576"/>
        <w:rPr>
          <w:rFonts w:ascii="Arial" w:hAnsi="Arial" w:cs="Arial"/>
          <w:color w:val="auto"/>
          <w:sz w:val="22"/>
          <w:szCs w:val="22"/>
        </w:rPr>
      </w:pPr>
    </w:p>
    <w:p w14:paraId="7383BB1E" w14:textId="77777777" w:rsidR="00711156" w:rsidRPr="003D0D03" w:rsidRDefault="00711156" w:rsidP="00711156">
      <w:pPr>
        <w:pStyle w:val="Heading2"/>
        <w:numPr>
          <w:ilvl w:val="0"/>
          <w:numId w:val="0"/>
        </w:numPr>
        <w:ind w:left="576" w:hanging="576"/>
        <w:rPr>
          <w:rFonts w:ascii="Arial" w:hAnsi="Arial" w:cs="Arial"/>
          <w:color w:val="auto"/>
          <w:sz w:val="22"/>
          <w:szCs w:val="22"/>
        </w:rPr>
      </w:pPr>
      <w:r w:rsidRPr="003D0D03">
        <w:rPr>
          <w:rFonts w:ascii="Arial" w:hAnsi="Arial" w:cs="Arial"/>
          <w:color w:val="auto"/>
          <w:sz w:val="22"/>
          <w:szCs w:val="22"/>
        </w:rPr>
        <w:t xml:space="preserve">Programmes </w:t>
      </w:r>
      <w:proofErr w:type="gramStart"/>
      <w:r w:rsidRPr="003D0D03">
        <w:rPr>
          <w:rFonts w:ascii="Arial" w:hAnsi="Arial" w:cs="Arial"/>
          <w:color w:val="auto"/>
          <w:sz w:val="22"/>
          <w:szCs w:val="22"/>
        </w:rPr>
        <w:t>reviewed</w:t>
      </w:r>
      <w:proofErr w:type="gramEnd"/>
    </w:p>
    <w:p w14:paraId="7383BB1F" w14:textId="77777777" w:rsidR="00711156" w:rsidRPr="00303AFB" w:rsidRDefault="00711156" w:rsidP="00711156"/>
    <w:p w14:paraId="7383BB20" w14:textId="77777777" w:rsidR="00711156" w:rsidRPr="00303AFB" w:rsidRDefault="00711156" w:rsidP="00711156">
      <w:pPr>
        <w:pStyle w:val="Heading1"/>
        <w:numPr>
          <w:ilvl w:val="0"/>
          <w:numId w:val="0"/>
        </w:numPr>
        <w:ind w:left="432" w:hanging="432"/>
        <w:rPr>
          <w:rFonts w:ascii="Arial" w:hAnsi="Arial" w:cs="Arial"/>
          <w:color w:val="auto"/>
          <w:sz w:val="22"/>
          <w:szCs w:val="22"/>
        </w:rPr>
      </w:pPr>
      <w:r w:rsidRPr="00303AFB">
        <w:rPr>
          <w:rFonts w:ascii="Arial" w:hAnsi="Arial" w:cs="Arial"/>
          <w:color w:val="auto"/>
          <w:sz w:val="22"/>
          <w:szCs w:val="22"/>
        </w:rPr>
        <w:t xml:space="preserve">Programme Specifications </w:t>
      </w:r>
    </w:p>
    <w:p w14:paraId="7383BB21" w14:textId="77777777" w:rsidR="00711156" w:rsidRPr="00303AFB" w:rsidRDefault="00711156" w:rsidP="00711156">
      <w:pPr>
        <w:ind w:left="720"/>
        <w:rPr>
          <w:i/>
        </w:rPr>
      </w:pPr>
      <w:r w:rsidRPr="00303AFB">
        <w:rPr>
          <w:i/>
        </w:rPr>
        <w:t>(Appropriateness of these in terms of educational aims, intended learning outcomes and assessment and consistency with the relevant Subject Benchmark Statements and QAA Code of Practice and alignment of the programme with the Framework for Higher Education Qualifications (FHEQ))</w:t>
      </w:r>
    </w:p>
    <w:p w14:paraId="7383BB22" w14:textId="77777777" w:rsidR="00711156" w:rsidRPr="00303AFB" w:rsidRDefault="00711156" w:rsidP="00711156">
      <w:pPr>
        <w:pStyle w:val="Heading1"/>
        <w:numPr>
          <w:ilvl w:val="0"/>
          <w:numId w:val="0"/>
        </w:numPr>
        <w:ind w:left="432" w:hanging="432"/>
        <w:rPr>
          <w:rFonts w:ascii="Arial" w:hAnsi="Arial" w:cs="Arial"/>
          <w:color w:val="auto"/>
          <w:sz w:val="22"/>
          <w:szCs w:val="22"/>
        </w:rPr>
      </w:pPr>
      <w:r w:rsidRPr="00303AFB">
        <w:rPr>
          <w:rFonts w:ascii="Arial" w:hAnsi="Arial" w:cs="Arial"/>
          <w:color w:val="auto"/>
          <w:sz w:val="22"/>
          <w:szCs w:val="22"/>
        </w:rPr>
        <w:t>Curricula and Assessment</w:t>
      </w:r>
    </w:p>
    <w:p w14:paraId="7383BB23" w14:textId="77777777" w:rsidR="00711156" w:rsidRPr="00303AFB" w:rsidRDefault="00711156" w:rsidP="00711156">
      <w:pPr>
        <w:pStyle w:val="Heading1"/>
        <w:numPr>
          <w:ilvl w:val="0"/>
          <w:numId w:val="0"/>
        </w:numPr>
        <w:ind w:left="432" w:hanging="432"/>
        <w:rPr>
          <w:rFonts w:ascii="Arial" w:hAnsi="Arial" w:cs="Arial"/>
          <w:color w:val="auto"/>
          <w:sz w:val="22"/>
          <w:szCs w:val="22"/>
        </w:rPr>
      </w:pPr>
      <w:r w:rsidRPr="00303AFB">
        <w:rPr>
          <w:rFonts w:ascii="Arial" w:hAnsi="Arial" w:cs="Arial"/>
          <w:color w:val="auto"/>
          <w:sz w:val="22"/>
          <w:szCs w:val="22"/>
        </w:rPr>
        <w:t>Student Progression and Retention</w:t>
      </w:r>
    </w:p>
    <w:p w14:paraId="7383BB24" w14:textId="77777777" w:rsidR="00711156" w:rsidRPr="00303AFB" w:rsidRDefault="00711156" w:rsidP="00711156">
      <w:pPr>
        <w:pStyle w:val="Heading1"/>
        <w:numPr>
          <w:ilvl w:val="0"/>
          <w:numId w:val="0"/>
        </w:numPr>
        <w:ind w:left="432" w:hanging="432"/>
        <w:rPr>
          <w:rFonts w:ascii="Arial" w:hAnsi="Arial" w:cs="Arial"/>
          <w:color w:val="auto"/>
          <w:sz w:val="22"/>
          <w:szCs w:val="22"/>
        </w:rPr>
      </w:pPr>
      <w:r w:rsidRPr="00303AFB">
        <w:rPr>
          <w:rFonts w:ascii="Arial" w:hAnsi="Arial" w:cs="Arial"/>
          <w:color w:val="auto"/>
          <w:sz w:val="22"/>
          <w:szCs w:val="22"/>
        </w:rPr>
        <w:t>Student Support and Guidance</w:t>
      </w:r>
    </w:p>
    <w:p w14:paraId="7383BB25" w14:textId="77777777" w:rsidR="00711156" w:rsidRPr="00303AFB" w:rsidRDefault="00711156" w:rsidP="00711156">
      <w:pPr>
        <w:ind w:firstLine="720"/>
        <w:rPr>
          <w:i/>
        </w:rPr>
      </w:pPr>
      <w:r w:rsidRPr="00303AFB">
        <w:rPr>
          <w:i/>
        </w:rPr>
        <w:t>(Commentary on the effectiveness of student support mechanisms)</w:t>
      </w:r>
    </w:p>
    <w:p w14:paraId="7383BB26" w14:textId="77777777" w:rsidR="00711156" w:rsidRPr="00303AFB" w:rsidRDefault="00711156" w:rsidP="00711156">
      <w:pPr>
        <w:pStyle w:val="Heading1"/>
        <w:numPr>
          <w:ilvl w:val="0"/>
          <w:numId w:val="0"/>
        </w:numPr>
        <w:ind w:left="432" w:hanging="432"/>
        <w:rPr>
          <w:rFonts w:ascii="Arial" w:hAnsi="Arial" w:cs="Arial"/>
          <w:bCs w:val="0"/>
          <w:color w:val="auto"/>
          <w:sz w:val="22"/>
          <w:szCs w:val="22"/>
        </w:rPr>
      </w:pPr>
      <w:r w:rsidRPr="00303AFB">
        <w:rPr>
          <w:rFonts w:ascii="Arial" w:hAnsi="Arial" w:cs="Arial"/>
          <w:bCs w:val="0"/>
          <w:color w:val="auto"/>
          <w:sz w:val="22"/>
          <w:szCs w:val="22"/>
        </w:rPr>
        <w:t>Student Representation and Feedback Procedures</w:t>
      </w:r>
    </w:p>
    <w:p w14:paraId="7383BB27" w14:textId="77777777" w:rsidR="00711156" w:rsidRPr="00303AFB" w:rsidRDefault="00711156" w:rsidP="00711156">
      <w:pPr>
        <w:ind w:left="709"/>
        <w:rPr>
          <w:i/>
        </w:rPr>
      </w:pPr>
      <w:r w:rsidRPr="00303AFB">
        <w:rPr>
          <w:i/>
        </w:rPr>
        <w:t>(Commentary on the effectiveness of student representation and feedback procedures)</w:t>
      </w:r>
    </w:p>
    <w:p w14:paraId="7383BB28" w14:textId="77777777" w:rsidR="00711156" w:rsidRPr="00303AFB" w:rsidRDefault="00711156" w:rsidP="00711156">
      <w:pPr>
        <w:pStyle w:val="Heading1"/>
        <w:numPr>
          <w:ilvl w:val="0"/>
          <w:numId w:val="0"/>
        </w:numPr>
        <w:ind w:left="432" w:hanging="432"/>
        <w:rPr>
          <w:rFonts w:ascii="Arial" w:hAnsi="Arial" w:cs="Arial"/>
          <w:bCs w:val="0"/>
          <w:color w:val="auto"/>
          <w:sz w:val="22"/>
          <w:szCs w:val="22"/>
        </w:rPr>
      </w:pPr>
      <w:r w:rsidRPr="00303AFB">
        <w:rPr>
          <w:rFonts w:ascii="Arial" w:hAnsi="Arial" w:cs="Arial"/>
          <w:bCs w:val="0"/>
          <w:color w:val="auto"/>
          <w:sz w:val="22"/>
          <w:szCs w:val="22"/>
        </w:rPr>
        <w:t>Academic Standards</w:t>
      </w:r>
    </w:p>
    <w:p w14:paraId="7383BB29" w14:textId="77777777" w:rsidR="00711156" w:rsidRPr="00303AFB" w:rsidRDefault="00711156" w:rsidP="00711156">
      <w:pPr>
        <w:ind w:firstLine="720"/>
        <w:rPr>
          <w:i/>
        </w:rPr>
      </w:pPr>
      <w:r w:rsidRPr="00303AFB">
        <w:rPr>
          <w:i/>
        </w:rPr>
        <w:t>(Commentary on whether these appear to be comparable to elsewhere in the sector)</w:t>
      </w:r>
    </w:p>
    <w:p w14:paraId="7383BB2A" w14:textId="77777777" w:rsidR="00711156" w:rsidRPr="00283450" w:rsidRDefault="00711156" w:rsidP="00711156">
      <w:pPr>
        <w:pStyle w:val="Heading7"/>
        <w:numPr>
          <w:ilvl w:val="0"/>
          <w:numId w:val="0"/>
        </w:numPr>
        <w:ind w:left="1296" w:hanging="1296"/>
        <w:rPr>
          <w:rFonts w:ascii="Arial" w:hAnsi="Arial" w:cs="Arial"/>
          <w:b/>
          <w:i w:val="0"/>
          <w:color w:val="auto"/>
        </w:rPr>
      </w:pPr>
      <w:r w:rsidRPr="00283450">
        <w:rPr>
          <w:rFonts w:ascii="Arial" w:hAnsi="Arial" w:cs="Arial"/>
          <w:b/>
          <w:i w:val="0"/>
          <w:color w:val="auto"/>
        </w:rPr>
        <w:t>Areas of Good Practice and Identification of Areas for Improvement</w:t>
      </w:r>
    </w:p>
    <w:p w14:paraId="7383BB2B" w14:textId="77777777" w:rsidR="00711156" w:rsidRPr="00283450" w:rsidRDefault="00711156" w:rsidP="00711156">
      <w:pPr>
        <w:pStyle w:val="Heading7"/>
        <w:numPr>
          <w:ilvl w:val="0"/>
          <w:numId w:val="0"/>
        </w:numPr>
        <w:ind w:left="1296" w:hanging="1296"/>
        <w:rPr>
          <w:rFonts w:ascii="Arial" w:hAnsi="Arial" w:cs="Arial"/>
          <w:b/>
          <w:i w:val="0"/>
          <w:color w:val="auto"/>
        </w:rPr>
      </w:pPr>
      <w:r w:rsidRPr="00283450">
        <w:rPr>
          <w:rFonts w:ascii="Arial" w:hAnsi="Arial" w:cs="Arial"/>
          <w:b/>
          <w:i w:val="0"/>
          <w:color w:val="auto"/>
        </w:rPr>
        <w:t>Areas for Enhancement</w:t>
      </w:r>
    </w:p>
    <w:p w14:paraId="7383BB2C" w14:textId="77777777" w:rsidR="00711156" w:rsidRPr="00283450" w:rsidRDefault="00711156" w:rsidP="00711156">
      <w:pPr>
        <w:pStyle w:val="Heading7"/>
        <w:numPr>
          <w:ilvl w:val="0"/>
          <w:numId w:val="0"/>
        </w:numPr>
        <w:ind w:left="1296" w:hanging="1296"/>
        <w:rPr>
          <w:rFonts w:ascii="Arial" w:hAnsi="Arial" w:cs="Arial"/>
          <w:b/>
          <w:i w:val="0"/>
          <w:color w:val="auto"/>
        </w:rPr>
      </w:pPr>
      <w:r w:rsidRPr="00283450">
        <w:rPr>
          <w:rFonts w:ascii="Arial" w:hAnsi="Arial" w:cs="Arial"/>
          <w:b/>
          <w:i w:val="0"/>
          <w:color w:val="auto"/>
        </w:rPr>
        <w:t>Commentary on the School’s Future Plans and Objectives</w:t>
      </w:r>
    </w:p>
    <w:p w14:paraId="7383BB2D" w14:textId="77777777" w:rsidR="00711156" w:rsidRPr="00283450" w:rsidRDefault="00711156" w:rsidP="00711156">
      <w:pPr>
        <w:pStyle w:val="Heading7"/>
        <w:numPr>
          <w:ilvl w:val="0"/>
          <w:numId w:val="0"/>
        </w:numPr>
        <w:ind w:left="1296" w:hanging="1296"/>
        <w:rPr>
          <w:rFonts w:ascii="Arial" w:hAnsi="Arial" w:cs="Arial"/>
          <w:b/>
          <w:i w:val="0"/>
          <w:color w:val="auto"/>
        </w:rPr>
      </w:pPr>
      <w:r w:rsidRPr="00283450">
        <w:rPr>
          <w:rFonts w:ascii="Arial" w:hAnsi="Arial" w:cs="Arial"/>
          <w:b/>
          <w:i w:val="0"/>
          <w:color w:val="auto"/>
        </w:rPr>
        <w:t xml:space="preserve">Outcomes of the Review and Recommendations </w:t>
      </w:r>
    </w:p>
    <w:p w14:paraId="7383BB2E" w14:textId="77777777" w:rsidR="00711156" w:rsidRDefault="00711156" w:rsidP="00711156"/>
    <w:p w14:paraId="7383BB31" w14:textId="019BAFE7" w:rsidR="007D2359" w:rsidRDefault="00711156">
      <w:r w:rsidRPr="00A4726E">
        <w:rPr>
          <w:color w:val="FF0000"/>
        </w:rPr>
        <w:t>Inclusion of recommendation from the panel about the continuation or discontinuation of each programme of study under review</w:t>
      </w:r>
    </w:p>
    <w:sectPr w:rsidR="007D2359" w:rsidSect="00711156">
      <w:headerReference w:type="even" r:id="rId12"/>
      <w:headerReference w:type="default" r:id="rId13"/>
      <w:footerReference w:type="default" r:id="rId14"/>
      <w:headerReference w:type="first" r:id="rId15"/>
      <w:pgSz w:w="11906" w:h="16838"/>
      <w:pgMar w:top="425" w:right="851" w:bottom="992"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14845" w14:textId="77777777" w:rsidR="007E68C0" w:rsidRDefault="007E68C0">
      <w:pPr>
        <w:spacing w:after="0" w:line="240" w:lineRule="auto"/>
      </w:pPr>
      <w:r>
        <w:separator/>
      </w:r>
    </w:p>
  </w:endnote>
  <w:endnote w:type="continuationSeparator" w:id="0">
    <w:p w14:paraId="5B409735" w14:textId="77777777" w:rsidR="007E68C0" w:rsidRDefault="007E6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BB36" w14:textId="77777777" w:rsidR="00103D02" w:rsidRPr="00164B53" w:rsidRDefault="00711156" w:rsidP="0031079A">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518B2" w14:textId="77777777" w:rsidR="007E68C0" w:rsidRDefault="007E68C0">
      <w:pPr>
        <w:spacing w:after="0" w:line="240" w:lineRule="auto"/>
      </w:pPr>
      <w:r>
        <w:separator/>
      </w:r>
    </w:p>
  </w:footnote>
  <w:footnote w:type="continuationSeparator" w:id="0">
    <w:p w14:paraId="54510EFE" w14:textId="77777777" w:rsidR="007E68C0" w:rsidRDefault="007E6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BB34" w14:textId="77777777" w:rsidR="00103D02" w:rsidRDefault="00103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BB35" w14:textId="77777777" w:rsidR="00103D02" w:rsidRPr="00C34136" w:rsidRDefault="00103D02" w:rsidP="00C341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BB37" w14:textId="77777777" w:rsidR="00103D02" w:rsidRDefault="00103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D0FF8"/>
    <w:multiLevelType w:val="multilevel"/>
    <w:tmpl w:val="2C1A2932"/>
    <w:lvl w:ilvl="0">
      <w:start w:val="1"/>
      <w:numFmt w:val="decimal"/>
      <w:pStyle w:val="Heading1"/>
      <w:lvlText w:val="%1"/>
      <w:lvlJc w:val="left"/>
      <w:pPr>
        <w:ind w:left="432" w:hanging="432"/>
      </w:pPr>
    </w:lvl>
    <w:lvl w:ilvl="1">
      <w:start w:val="1"/>
      <w:numFmt w:val="decimal"/>
      <w:pStyle w:val="Heading2"/>
      <w:lvlText w:val="%1.%2"/>
      <w:lvlJc w:val="left"/>
      <w:pPr>
        <w:ind w:left="5822" w:hanging="576"/>
      </w:pPr>
    </w:lvl>
    <w:lvl w:ilvl="2">
      <w:start w:val="1"/>
      <w:numFmt w:val="decimal"/>
      <w:pStyle w:val="Heading3"/>
      <w:lvlText w:val="%1.%2.%3"/>
      <w:lvlJc w:val="left"/>
      <w:pPr>
        <w:ind w:left="327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064669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1156"/>
    <w:rsid w:val="00103D02"/>
    <w:rsid w:val="00711156"/>
    <w:rsid w:val="007D2359"/>
    <w:rsid w:val="007E68C0"/>
    <w:rsid w:val="00902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BB17"/>
  <w15:chartTrackingRefBased/>
  <w15:docId w15:val="{37E9BB97-7B73-452A-86E1-D98403A3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156"/>
    <w:pPr>
      <w:spacing w:after="200" w:line="276" w:lineRule="auto"/>
    </w:pPr>
    <w:rPr>
      <w:rFonts w:ascii="Arial" w:hAnsi="Arial" w:cs="Arial"/>
    </w:rPr>
  </w:style>
  <w:style w:type="paragraph" w:styleId="Heading1">
    <w:name w:val="heading 1"/>
    <w:basedOn w:val="Normal"/>
    <w:next w:val="Normal"/>
    <w:link w:val="Heading1Char"/>
    <w:uiPriority w:val="9"/>
    <w:qFormat/>
    <w:rsid w:val="00711156"/>
    <w:pPr>
      <w:keepNext/>
      <w:keepLines/>
      <w:numPr>
        <w:numId w:val="1"/>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body,h2,H2,Section,h2.H2,1.1,UNDERRUBRIK 1-2,Para2,h21,h22,Heading Two,Topic Heading,h2 main heading,2m,h 2,Major,2,sub-sect,21,sub-sect1,22,sub-sect2,23,sub-sect3,24,sub-sect4,25,sub-sect5,section header,211,212,221,2111,l2,(1.1,1.2,1.3 etc)"/>
    <w:basedOn w:val="Normal"/>
    <w:next w:val="Normal"/>
    <w:link w:val="Heading2Char"/>
    <w:uiPriority w:val="9"/>
    <w:unhideWhenUsed/>
    <w:qFormat/>
    <w:rsid w:val="00711156"/>
    <w:pPr>
      <w:keepNext/>
      <w:keepLines/>
      <w:numPr>
        <w:ilvl w:val="1"/>
        <w:numId w:val="1"/>
      </w:numPr>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711156"/>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nhideWhenUsed/>
    <w:qFormat/>
    <w:rsid w:val="00711156"/>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711156"/>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711156"/>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qFormat/>
    <w:rsid w:val="0071115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1115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1115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15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aliases w:val="body Char,h2 Char,H2 Char,Section Char,h2.H2 Char,1.1 Char,UNDERRUBRIK 1-2 Char,Para2 Char,h21 Char,h22 Char,Heading Two Char,Topic Heading Char,h2 main heading Char,2m Char,h 2 Char,Major Char,2 Char,sub-sect Char,21 Char,sub-sect1 Char"/>
    <w:basedOn w:val="DefaultParagraphFont"/>
    <w:link w:val="Heading2"/>
    <w:uiPriority w:val="9"/>
    <w:rsid w:val="0071115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71115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rsid w:val="0071115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71115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71115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rsid w:val="0071115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1115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11156"/>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711156"/>
    <w:pPr>
      <w:tabs>
        <w:tab w:val="center" w:pos="4513"/>
        <w:tab w:val="right" w:pos="9026"/>
      </w:tabs>
      <w:spacing w:after="0" w:line="240" w:lineRule="auto"/>
    </w:pPr>
  </w:style>
  <w:style w:type="character" w:customStyle="1" w:styleId="HeaderChar">
    <w:name w:val="Header Char"/>
    <w:basedOn w:val="DefaultParagraphFont"/>
    <w:link w:val="Header"/>
    <w:rsid w:val="00711156"/>
    <w:rPr>
      <w:rFonts w:ascii="Arial" w:hAnsi="Arial" w:cs="Arial"/>
    </w:rPr>
  </w:style>
  <w:style w:type="paragraph" w:styleId="Footer">
    <w:name w:val="footer"/>
    <w:basedOn w:val="Normal"/>
    <w:link w:val="FooterChar"/>
    <w:uiPriority w:val="99"/>
    <w:unhideWhenUsed/>
    <w:rsid w:val="00711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15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562ce98-c8ed-4dad-a7d7-476fb4e16cf4">MYV4SAJE5APU-711777539-94</_dlc_DocId>
    <_dlc_DocIdUrl xmlns="9562ce98-c8ed-4dad-a7d7-476fb4e16cf4">
      <Url>https://uniofbuck.sharepoint.com/sites/SPO-COL/_layouts/15/DocIdRedir.aspx?ID=MYV4SAJE5APU-711777539-94</Url>
      <Description>MYV4SAJE5APU-711777539-94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A779DA48D3D794F8F09779537193CDB" ma:contentTypeVersion="5" ma:contentTypeDescription="Create a new document." ma:contentTypeScope="" ma:versionID="a5a7edb7f42386d47649534efcc1c4b6">
  <xsd:schema xmlns:xsd="http://www.w3.org/2001/XMLSchema" xmlns:xs="http://www.w3.org/2001/XMLSchema" xmlns:p="http://schemas.microsoft.com/office/2006/metadata/properties" xmlns:ns2="9562ce98-c8ed-4dad-a7d7-476fb4e16cf4" xmlns:ns3="f2a949e8-2bea-481c-9536-8bffc1afece3" targetNamespace="http://schemas.microsoft.com/office/2006/metadata/properties" ma:root="true" ma:fieldsID="8b72e1b73195580c92a857aa08a9d39c" ns2:_="" ns3:_="">
    <xsd:import namespace="9562ce98-c8ed-4dad-a7d7-476fb4e16cf4"/>
    <xsd:import namespace="f2a949e8-2bea-481c-9536-8bffc1afece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2ce98-c8ed-4dad-a7d7-476fb4e16c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a949e8-2bea-481c-9536-8bffc1afec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D81915-44DA-4BF3-B75F-4FA9CB94334E}">
  <ds:schemaRefs>
    <ds:schemaRef ds:uri="http://schemas.microsoft.com/office/2006/metadata/properties"/>
    <ds:schemaRef ds:uri="http://schemas.microsoft.com/office/infopath/2007/PartnerControls"/>
    <ds:schemaRef ds:uri="9562ce98-c8ed-4dad-a7d7-476fb4e16cf4"/>
  </ds:schemaRefs>
</ds:datastoreItem>
</file>

<file path=customXml/itemProps2.xml><?xml version="1.0" encoding="utf-8"?>
<ds:datastoreItem xmlns:ds="http://schemas.openxmlformats.org/officeDocument/2006/customXml" ds:itemID="{BC8F4F82-4640-4EAA-9E67-91F1B031584A}">
  <ds:schemaRefs>
    <ds:schemaRef ds:uri="http://schemas.microsoft.com/sharepoint/v3/contenttype/forms"/>
  </ds:schemaRefs>
</ds:datastoreItem>
</file>

<file path=customXml/itemProps3.xml><?xml version="1.0" encoding="utf-8"?>
<ds:datastoreItem xmlns:ds="http://schemas.openxmlformats.org/officeDocument/2006/customXml" ds:itemID="{CF1D7D0C-CF75-4EDB-B1AD-0F8BD1A5F9A0}">
  <ds:schemaRefs>
    <ds:schemaRef ds:uri="http://schemas.microsoft.com/sharepoint/events"/>
  </ds:schemaRefs>
</ds:datastoreItem>
</file>

<file path=customXml/itemProps4.xml><?xml version="1.0" encoding="utf-8"?>
<ds:datastoreItem xmlns:ds="http://schemas.openxmlformats.org/officeDocument/2006/customXml" ds:itemID="{78938858-D656-46C7-9FAF-77A40557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2ce98-c8ed-4dad-a7d7-476fb4e16cf4"/>
    <ds:schemaRef ds:uri="f2a949e8-2bea-481c-9536-8bffc1afe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Buckingham</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Maskell</dc:creator>
  <cp:keywords/>
  <dc:description/>
  <cp:lastModifiedBy>Christopher Maskell</cp:lastModifiedBy>
  <cp:revision>3</cp:revision>
  <dcterms:created xsi:type="dcterms:W3CDTF">2018-04-19T12:27:00Z</dcterms:created>
  <dcterms:modified xsi:type="dcterms:W3CDTF">2024-02-21T14:40:00Z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0x0101002A779DA48D3D794F8F09779537193CDB</vt:lpwstr>
  </property>
  <property fmtid="{D5CDD505-2E9C-101B-9397-08002B2CF9AE}" pid="3" name="_dlc_DocIdItemGuid">
    <vt:lpwstr>7f86bd22-37a0-43cd-ba39-8e347675e524</vt:lpwstr>
  </property>
</Properties>
</file>